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程序说明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本程序用于演示威纶通</w:t>
      </w:r>
      <w:r>
        <w:rPr>
          <w:rFonts w:hint="eastAsia"/>
          <w:sz w:val="28"/>
          <w:szCs w:val="28"/>
          <w:lang w:val="en-US" w:eastAsia="zh-CN"/>
        </w:rPr>
        <w:t xml:space="preserve">MT6103iP连接 </w:t>
      </w:r>
      <w:r>
        <w:rPr>
          <w:rFonts w:hint="eastAsia"/>
          <w:sz w:val="28"/>
          <w:szCs w:val="28"/>
        </w:rPr>
        <w:t>模块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读取重量和</w:t>
      </w:r>
      <w:r>
        <w:rPr>
          <w:rFonts w:hint="eastAsia"/>
          <w:sz w:val="28"/>
          <w:szCs w:val="28"/>
          <w:lang w:eastAsia="zh-CN"/>
        </w:rPr>
        <w:t>校准。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测试软件：EasyBuilder Pro V6.05.02.526s；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 xml:space="preserve">   测试硬件：MT6103iP，称重模块TR010。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连接测试之前，需要确定TR010模块的通讯参数。方法：将TR010模块连接到电脑，使用PC端用户调试软件，设置模块通讯地址和参数（注：模块出厂默认波特率38400、偶校验、通讯地址1）。如果使用默认参数可跳过这一步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接线方法：RS485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设置MT6103iP连接参数：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70500" cy="3804285"/>
            <wp:effectExtent l="0" t="0" r="6350" b="5715"/>
            <wp:docPr id="6" name="图片 6" descr="MT6103iP与TR010连接设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MT6103iP与TR010连接设置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0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2172335</wp:posOffset>
                </wp:positionV>
                <wp:extent cx="4154170" cy="1208405"/>
                <wp:effectExtent l="6350" t="6350" r="11430" b="234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28750" y="2984500"/>
                          <a:ext cx="4154170" cy="12084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  <w:lang w:eastAsia="zh-CN"/>
                              </w:rPr>
                              <w:t>使用本例程连接时，注意所有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Modbus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  <w:lang w:eastAsia="zh-CN"/>
                              </w:rPr>
                              <w:t>地址都是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16进制形式，无需添加0x前缀。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并且地址与TR010寄存器地址完全相同，不用+1.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05pt;margin-top:171.05pt;height:95.15pt;width:327.1pt;z-index:251659264;mso-width-relative:page;mso-height-relative:page;" fillcolor="#FFFFFF [3201]" filled="t" stroked="t" coordsize="21600,21600" o:gfxdata="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23eLrdcA&#10;AAAKAQAADwAAAAAAAAABACAAAAAiAAAAZHJzL2Rvd25yZXYueG1sUEsBAhQAFAAAAAgAh07iQGpn&#10;3diSAgAAFwUAAA4AAAAAAAAAAQAgAAAAJgEAAGRycy9lMm9Eb2MueG1sUEsFBgAAAAAGAAYAWQEA&#10;ACoGAAAAAA==&#10;">
                <v:fill on="t" focussize="0,0"/>
                <v:stroke weight="1pt" color="#ED7D3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  <w:lang w:eastAsia="zh-CN"/>
                        </w:rPr>
                        <w:t>使用本例程连接时，注意所有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  <w:lang w:val="en-US" w:eastAsia="zh-CN"/>
                        </w:rPr>
                        <w:t>Modbus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  <w:lang w:eastAsia="zh-CN"/>
                        </w:rPr>
                        <w:t>地址都是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  <w:lang w:val="en-US" w:eastAsia="zh-CN"/>
                        </w:rPr>
                        <w:t>16进制形式，无需添加0x前缀。</w:t>
                      </w:r>
                    </w:p>
                    <w:p>
                      <w:pPr>
                        <w:rPr>
                          <w:rFonts w:hint="default"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  <w:lang w:val="en-US" w:eastAsia="zh-CN"/>
                        </w:rPr>
                        <w:t>并且地址与TR010寄存器地址完全相同，不用+1.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净重读取说明：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drawing>
          <wp:inline distT="0" distB="0" distL="114300" distR="114300">
            <wp:extent cx="4705350" cy="3763645"/>
            <wp:effectExtent l="0" t="0" r="0" b="825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46531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76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标定校准：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校准分为两步：1、确认零点；2、确认加载点。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参考说明书高级命令中的“零点标定”和“加载点标定”。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本示例中使用宏指令实现，具体内容参考下图。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示例中只是将命令应答显示在屏幕上(LW0)，未对应答内容进行处理。</w:t>
      </w:r>
    </w:p>
    <w:p>
      <w:r>
        <w:drawing>
          <wp:inline distT="0" distB="0" distL="114300" distR="114300">
            <wp:extent cx="4714240" cy="2000885"/>
            <wp:effectExtent l="0" t="0" r="10160" b="1841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rcRect r="10565" b="48089"/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010785" cy="2806700"/>
            <wp:effectExtent l="0" t="0" r="18415" b="1270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rcRect r="4939" b="27183"/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18E4D"/>
    <w:multiLevelType w:val="singleLevel"/>
    <w:tmpl w:val="64018E4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87F90"/>
    <w:rsid w:val="4A2B63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wangwei</dc:creator>
  <cp:lastModifiedBy>王威</cp:lastModifiedBy>
  <dcterms:modified xsi:type="dcterms:W3CDTF">2021-08-05T08:16:13Z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4DCE6D16CC244890B62669AFB67F4F81</vt:lpwstr>
  </property>
</Properties>
</file>